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78" w:rsidRPr="00204AB0" w:rsidRDefault="00FB3969" w:rsidP="00A16D7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Silent Valley </w:t>
      </w:r>
      <w:r w:rsidR="00A16D78" w:rsidRPr="00204AB0">
        <w:rPr>
          <w:b/>
          <w:sz w:val="24"/>
          <w:szCs w:val="24"/>
          <w:u w:val="single"/>
        </w:rPr>
        <w:t xml:space="preserve">Plains Game </w:t>
      </w:r>
      <w:r w:rsidR="003F0DB9">
        <w:rPr>
          <w:b/>
          <w:sz w:val="24"/>
          <w:szCs w:val="24"/>
          <w:u w:val="single"/>
        </w:rPr>
        <w:t>Daily Rates 2020</w:t>
      </w:r>
    </w:p>
    <w:p w:rsidR="00A16D78" w:rsidRPr="00080D41" w:rsidRDefault="00A16D78" w:rsidP="00A16D78">
      <w:pPr>
        <w:pStyle w:val="NoSpacing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4423"/>
      </w:tblGrid>
      <w:tr w:rsidR="00A16D78" w:rsidRPr="00080D41" w:rsidTr="00B83735">
        <w:trPr>
          <w:trHeight w:val="289"/>
        </w:trPr>
        <w:tc>
          <w:tcPr>
            <w:tcW w:w="5283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Plains game</w:t>
            </w:r>
          </w:p>
        </w:tc>
        <w:tc>
          <w:tcPr>
            <w:tcW w:w="5405" w:type="dxa"/>
          </w:tcPr>
          <w:p w:rsidR="00A16D78" w:rsidRPr="00080D41" w:rsidRDefault="00A16D78" w:rsidP="00B83735">
            <w:pPr>
              <w:rPr>
                <w:b/>
              </w:rPr>
            </w:pPr>
          </w:p>
        </w:tc>
      </w:tr>
      <w:tr w:rsidR="00A16D78" w:rsidRPr="00080D41" w:rsidTr="00B83735">
        <w:trPr>
          <w:trHeight w:val="306"/>
        </w:trPr>
        <w:tc>
          <w:tcPr>
            <w:tcW w:w="5283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1 client x 1 Professional hunter</w:t>
            </w:r>
          </w:p>
        </w:tc>
        <w:tc>
          <w:tcPr>
            <w:tcW w:w="5405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$</w:t>
            </w:r>
            <w:r w:rsidR="007E3968">
              <w:rPr>
                <w:b/>
              </w:rPr>
              <w:t xml:space="preserve"> 350</w:t>
            </w:r>
          </w:p>
        </w:tc>
      </w:tr>
      <w:tr w:rsidR="00A16D78" w:rsidRPr="00080D41" w:rsidTr="00B83735">
        <w:trPr>
          <w:trHeight w:val="306"/>
        </w:trPr>
        <w:tc>
          <w:tcPr>
            <w:tcW w:w="5283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2 Clients X 1 professional hunter</w:t>
            </w:r>
          </w:p>
        </w:tc>
        <w:tc>
          <w:tcPr>
            <w:tcW w:w="5405" w:type="dxa"/>
          </w:tcPr>
          <w:p w:rsidR="00A16D78" w:rsidRPr="00080D41" w:rsidRDefault="00A16D78" w:rsidP="00B83735">
            <w:pPr>
              <w:rPr>
                <w:b/>
              </w:rPr>
            </w:pPr>
            <w:r>
              <w:rPr>
                <w:b/>
              </w:rPr>
              <w:t>$ 300</w:t>
            </w:r>
          </w:p>
        </w:tc>
      </w:tr>
      <w:tr w:rsidR="00A16D78" w:rsidRPr="00080D41" w:rsidTr="00B83735">
        <w:trPr>
          <w:trHeight w:val="306"/>
        </w:trPr>
        <w:tc>
          <w:tcPr>
            <w:tcW w:w="5283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Observer</w:t>
            </w:r>
          </w:p>
        </w:tc>
        <w:tc>
          <w:tcPr>
            <w:tcW w:w="5405" w:type="dxa"/>
          </w:tcPr>
          <w:p w:rsidR="00A16D78" w:rsidRPr="00080D41" w:rsidRDefault="007E3968" w:rsidP="00B83735">
            <w:pPr>
              <w:rPr>
                <w:b/>
              </w:rPr>
            </w:pPr>
            <w:r>
              <w:rPr>
                <w:b/>
              </w:rPr>
              <w:t>$ 200</w:t>
            </w:r>
          </w:p>
        </w:tc>
      </w:tr>
    </w:tbl>
    <w:p w:rsidR="00A16D78" w:rsidRDefault="00A16D78" w:rsidP="00A16D78">
      <w:pPr>
        <w:pStyle w:val="NoSpacing"/>
        <w:rPr>
          <w:b/>
          <w:sz w:val="24"/>
          <w:szCs w:val="24"/>
          <w:u w:val="single"/>
        </w:rPr>
      </w:pPr>
    </w:p>
    <w:p w:rsidR="00A16D78" w:rsidRPr="00204AB0" w:rsidRDefault="00A16D78" w:rsidP="00A16D78">
      <w:pPr>
        <w:pStyle w:val="NoSpacing"/>
        <w:rPr>
          <w:b/>
          <w:sz w:val="24"/>
          <w:szCs w:val="24"/>
          <w:u w:val="single"/>
        </w:rPr>
      </w:pPr>
      <w:r w:rsidRPr="00204AB0">
        <w:rPr>
          <w:b/>
          <w:sz w:val="24"/>
          <w:szCs w:val="24"/>
          <w:u w:val="single"/>
        </w:rPr>
        <w:t>Bow H</w:t>
      </w:r>
      <w:r w:rsidR="003F0DB9">
        <w:rPr>
          <w:b/>
          <w:sz w:val="24"/>
          <w:szCs w:val="24"/>
          <w:u w:val="single"/>
        </w:rPr>
        <w:t>unting Daily Rates 2020</w:t>
      </w:r>
    </w:p>
    <w:p w:rsidR="00A16D78" w:rsidRPr="00080D41" w:rsidRDefault="00A16D78" w:rsidP="00A16D78">
      <w:pPr>
        <w:pStyle w:val="NoSpacing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4423"/>
      </w:tblGrid>
      <w:tr w:rsidR="00A16D78" w:rsidRPr="00080D41" w:rsidTr="00B83735">
        <w:trPr>
          <w:trHeight w:val="289"/>
        </w:trPr>
        <w:tc>
          <w:tcPr>
            <w:tcW w:w="4485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Plains game</w:t>
            </w:r>
          </w:p>
        </w:tc>
        <w:tc>
          <w:tcPr>
            <w:tcW w:w="4423" w:type="dxa"/>
          </w:tcPr>
          <w:p w:rsidR="00A16D78" w:rsidRPr="00080D41" w:rsidRDefault="00A16D78" w:rsidP="00B83735">
            <w:pPr>
              <w:rPr>
                <w:b/>
              </w:rPr>
            </w:pPr>
          </w:p>
        </w:tc>
      </w:tr>
      <w:tr w:rsidR="00A16D78" w:rsidRPr="00080D41" w:rsidTr="00B83735">
        <w:trPr>
          <w:trHeight w:val="306"/>
        </w:trPr>
        <w:tc>
          <w:tcPr>
            <w:tcW w:w="4485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1 client x 1 Professional hunter</w:t>
            </w:r>
          </w:p>
        </w:tc>
        <w:tc>
          <w:tcPr>
            <w:tcW w:w="4423" w:type="dxa"/>
          </w:tcPr>
          <w:p w:rsidR="00A16D78" w:rsidRPr="00080D41" w:rsidRDefault="00A16D78" w:rsidP="00B83735">
            <w:pPr>
              <w:rPr>
                <w:b/>
              </w:rPr>
            </w:pPr>
            <w:r w:rsidRPr="00080D41">
              <w:rPr>
                <w:b/>
              </w:rPr>
              <w:t>$</w:t>
            </w:r>
            <w:r w:rsidR="007E3968">
              <w:rPr>
                <w:b/>
              </w:rPr>
              <w:t xml:space="preserve"> 350</w:t>
            </w:r>
          </w:p>
        </w:tc>
      </w:tr>
      <w:tr w:rsidR="00A16D78" w:rsidRPr="00080D41" w:rsidTr="00B83735">
        <w:trPr>
          <w:trHeight w:val="306"/>
        </w:trPr>
        <w:tc>
          <w:tcPr>
            <w:tcW w:w="4485" w:type="dxa"/>
          </w:tcPr>
          <w:p w:rsidR="00A16D78" w:rsidRPr="00080D41" w:rsidRDefault="00A16D78" w:rsidP="00B83735">
            <w:pPr>
              <w:rPr>
                <w:b/>
              </w:rPr>
            </w:pPr>
            <w:r>
              <w:rPr>
                <w:b/>
              </w:rPr>
              <w:t>Semi Guided bow  hunts</w:t>
            </w:r>
          </w:p>
        </w:tc>
        <w:tc>
          <w:tcPr>
            <w:tcW w:w="4423" w:type="dxa"/>
          </w:tcPr>
          <w:p w:rsidR="00A16D78" w:rsidRPr="00080D41" w:rsidRDefault="00A16D78" w:rsidP="00B83735">
            <w:pPr>
              <w:rPr>
                <w:b/>
              </w:rPr>
            </w:pPr>
          </w:p>
        </w:tc>
      </w:tr>
      <w:tr w:rsidR="00A16D78" w:rsidRPr="00080D41" w:rsidTr="00B83735">
        <w:trPr>
          <w:trHeight w:val="306"/>
        </w:trPr>
        <w:tc>
          <w:tcPr>
            <w:tcW w:w="4485" w:type="dxa"/>
          </w:tcPr>
          <w:p w:rsidR="00A16D78" w:rsidRPr="00080D41" w:rsidRDefault="00A16D78" w:rsidP="00B83735">
            <w:pPr>
              <w:rPr>
                <w:b/>
              </w:rPr>
            </w:pPr>
            <w:r>
              <w:rPr>
                <w:b/>
              </w:rPr>
              <w:t xml:space="preserve"> 4 Hunters</w:t>
            </w:r>
          </w:p>
        </w:tc>
        <w:tc>
          <w:tcPr>
            <w:tcW w:w="4423" w:type="dxa"/>
          </w:tcPr>
          <w:p w:rsidR="00A16D78" w:rsidRPr="00080D41" w:rsidRDefault="00A16D78" w:rsidP="00B83735">
            <w:pPr>
              <w:rPr>
                <w:b/>
              </w:rPr>
            </w:pPr>
            <w:r>
              <w:rPr>
                <w:b/>
              </w:rPr>
              <w:t>$ 250</w:t>
            </w:r>
          </w:p>
        </w:tc>
      </w:tr>
    </w:tbl>
    <w:p w:rsidR="00A16D78" w:rsidRDefault="00A16D78" w:rsidP="00A16D78">
      <w:pPr>
        <w:rPr>
          <w:b/>
          <w:u w:val="single"/>
        </w:rPr>
      </w:pPr>
    </w:p>
    <w:p w:rsidR="00A16D78" w:rsidRPr="00080D41" w:rsidRDefault="00A16D78" w:rsidP="00A16D78">
      <w:pPr>
        <w:rPr>
          <w:b/>
          <w:u w:val="single"/>
        </w:rPr>
      </w:pPr>
      <w:r>
        <w:rPr>
          <w:b/>
          <w:u w:val="single"/>
        </w:rPr>
        <w:t>T</w:t>
      </w:r>
      <w:r w:rsidRPr="00080D41">
        <w:rPr>
          <w:b/>
          <w:u w:val="single"/>
        </w:rPr>
        <w:t>erms of business:</w:t>
      </w:r>
    </w:p>
    <w:p w:rsidR="00A16D78" w:rsidRPr="00080D41" w:rsidRDefault="00A16D78" w:rsidP="00A16D78">
      <w:pPr>
        <w:jc w:val="both"/>
      </w:pPr>
      <w:r w:rsidRPr="00080D41">
        <w:t xml:space="preserve">A 50 percent of the daily rate of the hunter and the observer is payable on the confirmation of the booking including </w:t>
      </w:r>
      <w:r>
        <w:rPr>
          <w:b/>
        </w:rPr>
        <w:t>value added tax @ 15</w:t>
      </w:r>
      <w:r w:rsidRPr="00EB237D">
        <w:rPr>
          <w:b/>
        </w:rPr>
        <w:t xml:space="preserve">%. </w:t>
      </w:r>
      <w:r>
        <w:t xml:space="preserve"> </w:t>
      </w:r>
      <w:r w:rsidRPr="00080D41">
        <w:t>The deposit confirms booking betw</w:t>
      </w:r>
      <w:r>
        <w:t xml:space="preserve">een the client and Dave </w:t>
      </w:r>
      <w:proofErr w:type="spellStart"/>
      <w:r>
        <w:t>Freeburn</w:t>
      </w:r>
      <w:proofErr w:type="spellEnd"/>
      <w:r w:rsidRPr="00080D41">
        <w:t xml:space="preserve"> Safaris. The balance of the daily rate is payable 60 days prior to the commencement of the safari.</w:t>
      </w:r>
      <w:r>
        <w:t xml:space="preserve"> </w:t>
      </w:r>
      <w:r w:rsidRPr="00080D41">
        <w:t xml:space="preserve"> </w:t>
      </w:r>
      <w:r w:rsidRPr="00FC611C">
        <w:rPr>
          <w:b/>
        </w:rPr>
        <w:t xml:space="preserve">Prices are subject to change without prior notice due to the fluctuation of the exchange rates.  </w:t>
      </w:r>
      <w:r>
        <w:rPr>
          <w:b/>
        </w:rPr>
        <w:t xml:space="preserve">VAT </w:t>
      </w:r>
      <w:r w:rsidRPr="00293257">
        <w:rPr>
          <w:b/>
        </w:rPr>
        <w:t>WILL BE ADDED TO ANY ANIMALS WOUNDED OR LOST</w:t>
      </w:r>
      <w:r>
        <w:rPr>
          <w:b/>
        </w:rPr>
        <w:t xml:space="preserve">. </w:t>
      </w:r>
      <w:r w:rsidRPr="00080D41">
        <w:t>The trophy fees are payable at the end of the contracted safari period. Travel</w:t>
      </w:r>
      <w:r>
        <w:t>er’s checks</w:t>
      </w:r>
      <w:r w:rsidRPr="00080D41">
        <w:t xml:space="preserve"> and cash are accepted. </w:t>
      </w:r>
      <w:r>
        <w:t xml:space="preserve"> </w:t>
      </w:r>
      <w:r w:rsidRPr="00080D41">
        <w:t>Credit cards are not accepted.</w:t>
      </w:r>
    </w:p>
    <w:p w:rsidR="00A16D78" w:rsidRDefault="00A16D78" w:rsidP="00A16D78">
      <w:pPr>
        <w:rPr>
          <w:b/>
          <w:u w:val="single"/>
        </w:rPr>
      </w:pPr>
      <w:r w:rsidRPr="00080D41">
        <w:rPr>
          <w:b/>
          <w:u w:val="single"/>
        </w:rPr>
        <w:t>Deposits and cancellations:</w:t>
      </w:r>
    </w:p>
    <w:p w:rsidR="00A16D78" w:rsidRDefault="00A16D78" w:rsidP="00A16D78">
      <w:r>
        <w:t>If the safari is cancelled 15</w:t>
      </w:r>
      <w:r w:rsidRPr="00080D41">
        <w:t>0 days or more before the sched</w:t>
      </w:r>
      <w:r>
        <w:t xml:space="preserve">uled safari date, Dave </w:t>
      </w:r>
      <w:proofErr w:type="spellStart"/>
      <w:r>
        <w:t>Freeburn</w:t>
      </w:r>
      <w:proofErr w:type="spellEnd"/>
      <w:r>
        <w:t xml:space="preserve"> </w:t>
      </w:r>
      <w:r w:rsidRPr="00080D41">
        <w:t>Safaris reserves the right to retain 50% of the daily rate.</w:t>
      </w:r>
      <w:r>
        <w:t xml:space="preserve"> </w:t>
      </w:r>
      <w:r w:rsidRPr="00080D41">
        <w:t xml:space="preserve"> </w:t>
      </w:r>
      <w:r>
        <w:t xml:space="preserve">The balance will be </w:t>
      </w:r>
      <w:r w:rsidRPr="00080D41">
        <w:t>advanced to a future safar</w:t>
      </w:r>
      <w:r>
        <w:t>i date</w:t>
      </w:r>
      <w:r w:rsidRPr="00080D41">
        <w:t>.</w:t>
      </w:r>
      <w:r>
        <w:t xml:space="preserve"> </w:t>
      </w:r>
      <w:r w:rsidRPr="00080D41">
        <w:t xml:space="preserve"> All deposits are non-refundable in the event tha</w:t>
      </w:r>
      <w:r>
        <w:t>t a cancellation should occur 15</w:t>
      </w:r>
      <w:r w:rsidRPr="00080D41">
        <w:t>0 days or less prior to the scheduled safari dates.</w:t>
      </w:r>
      <w:r>
        <w:t xml:space="preserve"> </w:t>
      </w:r>
      <w:r w:rsidRPr="00080D41">
        <w:t xml:space="preserve"> No refund will be given for late arrivals or early departures.</w:t>
      </w:r>
    </w:p>
    <w:p w:rsidR="00A16D78" w:rsidRDefault="00A16D78" w:rsidP="00A16D78"/>
    <w:p w:rsidR="00A16D78" w:rsidRPr="008F50E4" w:rsidRDefault="00A16D78" w:rsidP="00A16D78">
      <w:pPr>
        <w:rPr>
          <w:rFonts w:cs="Arial"/>
        </w:rPr>
      </w:pPr>
      <w:r w:rsidRPr="008F50E4">
        <w:rPr>
          <w:rFonts w:cs="Arial"/>
          <w:b/>
          <w:u w:val="single"/>
        </w:rPr>
        <w:t xml:space="preserve">Duration of Safari: </w:t>
      </w:r>
      <w:r>
        <w:rPr>
          <w:rFonts w:cs="Arial"/>
        </w:rPr>
        <w:t xml:space="preserve">   </w:t>
      </w:r>
      <w:r w:rsidRPr="008F50E4">
        <w:rPr>
          <w:rFonts w:cs="Arial"/>
        </w:rPr>
        <w:t xml:space="preserve">Temperatures are most comfortable during this period, ranging from </w:t>
      </w:r>
      <w:r>
        <w:rPr>
          <w:rFonts w:cs="Arial"/>
        </w:rPr>
        <w:t>60’F to 95’F</w:t>
      </w:r>
      <w:r w:rsidRPr="008F50E4">
        <w:rPr>
          <w:rFonts w:cs="Arial"/>
        </w:rPr>
        <w:t>. A minimum of 7 days is recommended for plains game animals and</w:t>
      </w:r>
      <w:r>
        <w:rPr>
          <w:rFonts w:cs="Arial"/>
        </w:rPr>
        <w:t xml:space="preserve"> a</w:t>
      </w:r>
      <w:r w:rsidRPr="008F50E4">
        <w:rPr>
          <w:rFonts w:cs="Arial"/>
        </w:rPr>
        <w:t xml:space="preserve"> minimum of 7 days for dangerous game and big 5.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 It is in our experience that clients try to hunt too much in too short a space of time.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 Once you have decided on your preference of trophies, please consult with your PH on allocating en</w:t>
      </w:r>
      <w:r>
        <w:rPr>
          <w:rFonts w:cs="Arial"/>
        </w:rPr>
        <w:t xml:space="preserve">ough time so that Dave </w:t>
      </w:r>
      <w:proofErr w:type="spellStart"/>
      <w:r>
        <w:rPr>
          <w:rFonts w:cs="Arial"/>
        </w:rPr>
        <w:t>Freeburn</w:t>
      </w:r>
      <w:proofErr w:type="spellEnd"/>
      <w:r>
        <w:rPr>
          <w:rFonts w:cs="Arial"/>
        </w:rPr>
        <w:t xml:space="preserve"> </w:t>
      </w:r>
      <w:r w:rsidRPr="008F50E4">
        <w:rPr>
          <w:rFonts w:cs="Arial"/>
        </w:rPr>
        <w:t xml:space="preserve">Safaris can ensure your hunt is achievable and memorable. Safari starts on the day of arrival at the airport and ends on the day of departure from the reserve.  </w:t>
      </w:r>
    </w:p>
    <w:p w:rsidR="00A16D78" w:rsidRPr="008F50E4" w:rsidRDefault="00A16D78" w:rsidP="00A16D7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Firearms and Hunting L</w:t>
      </w:r>
      <w:r w:rsidRPr="008F50E4">
        <w:rPr>
          <w:rFonts w:cs="Arial"/>
          <w:b/>
          <w:u w:val="single"/>
        </w:rPr>
        <w:t>icenses:</w:t>
      </w:r>
    </w:p>
    <w:p w:rsidR="00A16D78" w:rsidRPr="008F50E4" w:rsidRDefault="00A16D78" w:rsidP="00A16D78">
      <w:pPr>
        <w:jc w:val="both"/>
        <w:rPr>
          <w:rFonts w:cs="Arial"/>
        </w:rPr>
      </w:pPr>
      <w:r>
        <w:rPr>
          <w:rFonts w:cs="Arial"/>
        </w:rPr>
        <w:t>Any caliber</w:t>
      </w:r>
      <w:r w:rsidRPr="008F50E4">
        <w:rPr>
          <w:rFonts w:cs="Arial"/>
        </w:rPr>
        <w:t xml:space="preserve"> in the .270 - .300 ranges will be sufficient for plains game and we recommend 40 rounds per caliber.  A minimum of .375 is required for dangerous game.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 A good variable scope is essential as long range shooting may be required.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 No semi-automatic rifles are allowed in South Africa.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 Rifles and ammunition should be transported in two separate lockable cases. 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A soft case is recommended for day to day movement of the firearm. </w:t>
      </w:r>
      <w:r>
        <w:rPr>
          <w:rFonts w:cs="Arial"/>
        </w:rPr>
        <w:t xml:space="preserve"> </w:t>
      </w:r>
      <w:r w:rsidRPr="008F50E4">
        <w:rPr>
          <w:rFonts w:cs="Arial"/>
        </w:rPr>
        <w:t>Some species require a CITES import and export permit</w:t>
      </w:r>
      <w:r>
        <w:rPr>
          <w:rFonts w:cs="Arial"/>
        </w:rPr>
        <w:t>s</w:t>
      </w:r>
      <w:r w:rsidRPr="008F50E4">
        <w:rPr>
          <w:rFonts w:cs="Arial"/>
        </w:rPr>
        <w:t xml:space="preserve">.   </w:t>
      </w:r>
    </w:p>
    <w:p w:rsidR="00A16D78" w:rsidRPr="008F50E4" w:rsidRDefault="00A16D78" w:rsidP="00A16D7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Liability and I</w:t>
      </w:r>
      <w:r w:rsidRPr="008F50E4">
        <w:rPr>
          <w:rFonts w:cs="Arial"/>
          <w:b/>
          <w:u w:val="single"/>
        </w:rPr>
        <w:t>nsurance:</w:t>
      </w:r>
    </w:p>
    <w:p w:rsidR="00A16D78" w:rsidRPr="008F50E4" w:rsidRDefault="00A16D78" w:rsidP="00A16D78">
      <w:pPr>
        <w:jc w:val="both"/>
        <w:rPr>
          <w:rFonts w:cs="Arial"/>
        </w:rPr>
      </w:pPr>
      <w:r w:rsidRPr="008F50E4">
        <w:rPr>
          <w:rFonts w:cs="Arial"/>
        </w:rPr>
        <w:t>While every effort is made to ensure the h</w:t>
      </w:r>
      <w:r>
        <w:rPr>
          <w:rFonts w:cs="Arial"/>
        </w:rPr>
        <w:t>unting client’s safety and well</w:t>
      </w:r>
      <w:r w:rsidRPr="008F50E4">
        <w:rPr>
          <w:rFonts w:cs="Arial"/>
        </w:rPr>
        <w:t>being, hunting by nature can be hazardous.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 No responsibility will be accepted for any illness, accident or loss. </w:t>
      </w:r>
      <w:r>
        <w:rPr>
          <w:rFonts w:cs="Arial"/>
        </w:rPr>
        <w:t xml:space="preserve"> </w:t>
      </w:r>
      <w:r w:rsidRPr="008F50E4">
        <w:rPr>
          <w:rFonts w:cs="Arial"/>
        </w:rPr>
        <w:t xml:space="preserve">It will be expected of hunting clients to sign an indemnity form before commencement of the hunt. </w:t>
      </w:r>
      <w:r>
        <w:rPr>
          <w:rFonts w:cs="Arial"/>
        </w:rPr>
        <w:t xml:space="preserve">Dave </w:t>
      </w:r>
      <w:proofErr w:type="spellStart"/>
      <w:r>
        <w:rPr>
          <w:rFonts w:cs="Arial"/>
        </w:rPr>
        <w:t>Freeburn</w:t>
      </w:r>
      <w:proofErr w:type="spellEnd"/>
      <w:r w:rsidRPr="008F50E4">
        <w:rPr>
          <w:rFonts w:cs="Arial"/>
        </w:rPr>
        <w:t xml:space="preserve"> Safaris recommends that all clients take out their own medical, personal and travelling insurance.</w:t>
      </w:r>
    </w:p>
    <w:p w:rsidR="00A16D78" w:rsidRPr="00080D41" w:rsidRDefault="00A16D78" w:rsidP="00A16D78">
      <w:pPr>
        <w:rPr>
          <w:b/>
          <w:u w:val="single"/>
        </w:rPr>
      </w:pPr>
      <w:r w:rsidRPr="00080D41">
        <w:rPr>
          <w:b/>
          <w:u w:val="single"/>
        </w:rPr>
        <w:t xml:space="preserve">Daily rates include: </w:t>
      </w:r>
    </w:p>
    <w:p w:rsidR="00A16D78" w:rsidRPr="00080D41" w:rsidRDefault="00A16D78" w:rsidP="00A16D78">
      <w:pPr>
        <w:jc w:val="both"/>
      </w:pPr>
      <w:r w:rsidRPr="00080D41">
        <w:t xml:space="preserve">Services of professional hunter, trackers, skinners and all camp staff. </w:t>
      </w:r>
      <w:r>
        <w:t xml:space="preserve"> </w:t>
      </w:r>
      <w:r w:rsidRPr="00080D41">
        <w:t>Fully equipped four wheel drive vehicle.</w:t>
      </w:r>
      <w:r>
        <w:t xml:space="preserve">  </w:t>
      </w:r>
      <w:r w:rsidRPr="00080D41">
        <w:t xml:space="preserve"> Accommodation and full catering inclu</w:t>
      </w:r>
      <w:r>
        <w:t>ding fine South African cuisine</w:t>
      </w:r>
      <w:r w:rsidRPr="00080D41">
        <w:t>, dri</w:t>
      </w:r>
      <w:r>
        <w:t>nks, local wines and beers (in moderation) during the safari.</w:t>
      </w:r>
      <w:r w:rsidRPr="00080D41">
        <w:t xml:space="preserve"> </w:t>
      </w:r>
      <w:r>
        <w:t xml:space="preserve"> </w:t>
      </w:r>
      <w:r w:rsidRPr="00080D41">
        <w:t>Daily laundry services.</w:t>
      </w:r>
      <w:r>
        <w:t xml:space="preserve"> </w:t>
      </w:r>
      <w:r w:rsidRPr="00080D41">
        <w:t xml:space="preserve"> Transport by road to and from </w:t>
      </w:r>
      <w:smartTag w:uri="urn:schemas-microsoft-com:office:smarttags" w:element="place">
        <w:smartTag w:uri="urn:schemas-microsoft-com:office:smarttags" w:element="PlaceName">
          <w:r w:rsidRPr="00080D41">
            <w:t>O.R</w:t>
          </w:r>
          <w:r>
            <w:t>.</w:t>
          </w:r>
        </w:smartTag>
        <w:r w:rsidRPr="00080D41">
          <w:t xml:space="preserve"> </w:t>
        </w:r>
        <w:smartTag w:uri="urn:schemas-microsoft-com:office:smarttags" w:element="PlaceName">
          <w:r w:rsidRPr="00080D41">
            <w:t>Tambo</w:t>
          </w:r>
        </w:smartTag>
        <w:r w:rsidRPr="00080D41">
          <w:t xml:space="preserve"> </w:t>
        </w:r>
        <w:smartTag w:uri="urn:schemas-microsoft-com:office:smarttags" w:element="PlaceName">
          <w:r w:rsidRPr="00080D41">
            <w:t>International</w:t>
          </w:r>
        </w:smartTag>
        <w:r w:rsidRPr="00080D41">
          <w:t xml:space="preserve"> </w:t>
        </w:r>
        <w:smartTag w:uri="urn:schemas-microsoft-com:office:smarttags" w:element="PlaceType">
          <w:r w:rsidRPr="00080D41">
            <w:t>Airport</w:t>
          </w:r>
        </w:smartTag>
      </w:smartTag>
      <w:r w:rsidRPr="00080D41">
        <w:t xml:space="preserve">. </w:t>
      </w:r>
      <w:r>
        <w:t xml:space="preserve"> </w:t>
      </w:r>
      <w:r w:rsidRPr="00080D41">
        <w:t>Field preparation of trophies.</w:t>
      </w:r>
    </w:p>
    <w:p w:rsidR="00A16D78" w:rsidRPr="00080D41" w:rsidRDefault="00A16D78" w:rsidP="00A16D78">
      <w:pPr>
        <w:rPr>
          <w:b/>
          <w:u w:val="single"/>
        </w:rPr>
      </w:pPr>
      <w:r w:rsidRPr="00080D41">
        <w:rPr>
          <w:b/>
          <w:u w:val="single"/>
        </w:rPr>
        <w:t>Daily rates exclude:</w:t>
      </w:r>
    </w:p>
    <w:p w:rsidR="00A16D78" w:rsidRDefault="00A16D78" w:rsidP="00A16D78">
      <w:pPr>
        <w:jc w:val="both"/>
      </w:pPr>
      <w:r w:rsidRPr="00080D41">
        <w:t>Accommodation expenses before and aft</w:t>
      </w:r>
      <w:r>
        <w:t>er the contracted safari dates.</w:t>
      </w:r>
      <w:r w:rsidRPr="00080D41">
        <w:t xml:space="preserve">  Trophy fees for animals taken, wounded or lost.  Dipping and shipping of trophies from </w:t>
      </w:r>
      <w:smartTag w:uri="urn:schemas-microsoft-com:office:smarttags" w:element="country-region">
        <w:smartTag w:uri="urn:schemas-microsoft-com:office:smarttags" w:element="place">
          <w:r w:rsidRPr="00080D41">
            <w:t>South Africa</w:t>
          </w:r>
        </w:smartTag>
      </w:smartTag>
      <w:r w:rsidRPr="00080D41">
        <w:t xml:space="preserve"> to final destination. </w:t>
      </w:r>
      <w:r>
        <w:t xml:space="preserve"> </w:t>
      </w:r>
      <w:r w:rsidRPr="00080D41">
        <w:t>CITE</w:t>
      </w:r>
      <w:r w:rsidR="00CB421E">
        <w:t>S permits. Gun</w:t>
      </w:r>
      <w:r>
        <w:t xml:space="preserve"> permit $160.</w:t>
      </w:r>
      <w:r w:rsidRPr="00080D41">
        <w:t>Liquor.</w:t>
      </w:r>
      <w:r>
        <w:t xml:space="preserve"> </w:t>
      </w:r>
      <w:r w:rsidRPr="00080D41">
        <w:t xml:space="preserve"> Staff and Pro</w:t>
      </w:r>
      <w:r>
        <w:t xml:space="preserve">fessional Hunters’ gratuities. </w:t>
      </w:r>
    </w:p>
    <w:p w:rsidR="00A16D78" w:rsidRDefault="00A16D78" w:rsidP="00A16D78">
      <w:pPr>
        <w:jc w:val="both"/>
      </w:pPr>
    </w:p>
    <w:p w:rsidR="00A16D78" w:rsidRPr="00EA5230" w:rsidRDefault="00EA5230" w:rsidP="00EA5230">
      <w:pPr>
        <w:jc w:val="center"/>
        <w:rPr>
          <w:b/>
          <w:sz w:val="28"/>
          <w:szCs w:val="28"/>
        </w:rPr>
      </w:pPr>
      <w:r w:rsidRPr="00EA5230">
        <w:rPr>
          <w:b/>
          <w:sz w:val="28"/>
          <w:szCs w:val="28"/>
        </w:rPr>
        <w:lastRenderedPageBreak/>
        <w:t>Price list 2020</w:t>
      </w:r>
    </w:p>
    <w:tbl>
      <w:tblPr>
        <w:tblW w:w="8280" w:type="dxa"/>
        <w:tblInd w:w="-10" w:type="dxa"/>
        <w:tblLook w:val="04A0" w:firstRow="1" w:lastRow="0" w:firstColumn="1" w:lastColumn="0" w:noHBand="0" w:noVBand="1"/>
      </w:tblPr>
      <w:tblGrid>
        <w:gridCol w:w="2160"/>
        <w:gridCol w:w="1780"/>
        <w:gridCol w:w="2080"/>
        <w:gridCol w:w="2260"/>
      </w:tblGrid>
      <w:tr w:rsidR="00801951" w:rsidRPr="00801951" w:rsidTr="00D117CA">
        <w:trPr>
          <w:trHeight w:val="4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Species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Trophy Fee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Species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A"/>
              </w:rPr>
              <w:t>Trophy Fee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Blue Wildebeest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Nyala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$2,495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Black Impala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$1,595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Red Hartebeest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$1095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White Flank Impala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$1,795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7868A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Roan</w:t>
            </w: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under 28’’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$4,995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proofErr w:type="spellStart"/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Blesbuck</w:t>
            </w:r>
            <w:proofErr w:type="spellEnd"/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Common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Default="00832815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7868A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Roan</w:t>
            </w: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over 28’’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$6,495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Blesbuck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White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32815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Rhino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POR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Blesbuck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Yellow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$75</w:t>
            </w:r>
            <w:r w:rsid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Green dart Rhino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POR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Buffalo up to 40’’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A40B04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$9,995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Sable under 42’’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$3,495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Buffalo 40’’ – 42’’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Default="00A40B04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$10</w:t>
            </w:r>
            <w:r w:rsidR="00832815"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,995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Sable 42’’ – 44.5’’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$4,495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Buffalo over 42’’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Steenbuck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$500</w:t>
            </w:r>
            <w:bookmarkStart w:id="0" w:name="_GoBack"/>
            <w:bookmarkEnd w:id="0"/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Limpopo </w:t>
            </w:r>
            <w:r w:rsidR="00801951"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Bushbuck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Springbuck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$450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Duiker Grey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proofErr w:type="spellStart"/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Tsessebe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$2,495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Eland Cape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$2,295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Warthog</w:t>
            </w: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under 10’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</w:t>
            </w: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50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Eland Livingstone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$2,595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Warthog over 10’’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$750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Gemsbuck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F106E2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$1,1</w:t>
            </w:r>
            <w:r w:rsidR="00832815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Waterbuck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$1,795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Gemsbuck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Golden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E41890" w:rsidP="008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$2,4</w:t>
            </w:r>
            <w:r w:rsidR="00832815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Zebra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$995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32815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Gemsbuck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 Red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Default="00832815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$3,995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Honey Badger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$1,995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Golden Wildebeest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</w:t>
            </w: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,495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Porcupine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$200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Giraffe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$2,495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Genet Cat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Impala under 24’’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D17E72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Serval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1,</w:t>
            </w: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Impala 24’’ – 26’’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$650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Caracal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Kudu under 55’’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$2,495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Caracal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1,</w:t>
            </w: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995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Kudu over 55’’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  <w:t>$3,995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  <w:t>Civit Cat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$1,295</w:t>
            </w:r>
          </w:p>
        </w:tc>
      </w:tr>
      <w:tr w:rsidR="00801951" w:rsidRPr="00801951" w:rsidTr="00D117CA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Ostrich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  <w:r w:rsidRPr="00801951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$495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951" w:rsidRPr="00801951" w:rsidRDefault="00801951" w:rsidP="0080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ZA" w:eastAsia="en-ZA"/>
              </w:rPr>
            </w:pPr>
          </w:p>
        </w:tc>
      </w:tr>
    </w:tbl>
    <w:p w:rsidR="002F12B2" w:rsidRPr="00A16D78" w:rsidRDefault="002F12B2" w:rsidP="00A16D78"/>
    <w:sectPr w:rsidR="002F12B2" w:rsidRPr="00A16D78" w:rsidSect="00E317ED">
      <w:headerReference w:type="default" r:id="rId6"/>
      <w:footerReference w:type="default" r:id="rId7"/>
      <w:pgSz w:w="11906" w:h="16838"/>
      <w:pgMar w:top="3261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6A" w:rsidRDefault="0047756A" w:rsidP="00E317ED">
      <w:pPr>
        <w:spacing w:after="0" w:line="240" w:lineRule="auto"/>
      </w:pPr>
      <w:r>
        <w:separator/>
      </w:r>
    </w:p>
  </w:endnote>
  <w:endnote w:type="continuationSeparator" w:id="0">
    <w:p w:rsidR="0047756A" w:rsidRDefault="0047756A" w:rsidP="00E3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20D" w:rsidRPr="00E317ED" w:rsidRDefault="00B1320D" w:rsidP="00E317ED">
    <w:pPr>
      <w:pStyle w:val="Foo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-19050</wp:posOffset>
          </wp:positionH>
          <wp:positionV relativeFrom="paragraph">
            <wp:posOffset>-527685</wp:posOffset>
          </wp:positionV>
          <wp:extent cx="7579995" cy="1133475"/>
          <wp:effectExtent l="0" t="0" r="1905" b="952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FS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206" cy="113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6A" w:rsidRDefault="0047756A" w:rsidP="00E317ED">
      <w:pPr>
        <w:spacing w:after="0" w:line="240" w:lineRule="auto"/>
      </w:pPr>
      <w:r>
        <w:separator/>
      </w:r>
    </w:p>
  </w:footnote>
  <w:footnote w:type="continuationSeparator" w:id="0">
    <w:p w:rsidR="0047756A" w:rsidRDefault="0047756A" w:rsidP="00E3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20D" w:rsidRPr="00E317ED" w:rsidRDefault="00B1320D" w:rsidP="00E317ED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2167128" cy="1331976"/>
          <wp:effectExtent l="0" t="0" r="5080" b="190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S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28" cy="1331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ED"/>
    <w:rsid w:val="00062878"/>
    <w:rsid w:val="00071E3E"/>
    <w:rsid w:val="00085D24"/>
    <w:rsid w:val="000C457F"/>
    <w:rsid w:val="00120DEA"/>
    <w:rsid w:val="001305DE"/>
    <w:rsid w:val="001656F2"/>
    <w:rsid w:val="001E4418"/>
    <w:rsid w:val="00254410"/>
    <w:rsid w:val="002F12B2"/>
    <w:rsid w:val="00354EA7"/>
    <w:rsid w:val="003A2805"/>
    <w:rsid w:val="003E3850"/>
    <w:rsid w:val="003F0DB9"/>
    <w:rsid w:val="00430BCD"/>
    <w:rsid w:val="00460E37"/>
    <w:rsid w:val="0047756A"/>
    <w:rsid w:val="004B23BA"/>
    <w:rsid w:val="00515E92"/>
    <w:rsid w:val="005F54A7"/>
    <w:rsid w:val="00612FB5"/>
    <w:rsid w:val="00631DB0"/>
    <w:rsid w:val="00640935"/>
    <w:rsid w:val="006E05D1"/>
    <w:rsid w:val="00721A3E"/>
    <w:rsid w:val="007264AA"/>
    <w:rsid w:val="0074281F"/>
    <w:rsid w:val="00776E7E"/>
    <w:rsid w:val="00794C78"/>
    <w:rsid w:val="007E3968"/>
    <w:rsid w:val="00801951"/>
    <w:rsid w:val="00832815"/>
    <w:rsid w:val="0087201C"/>
    <w:rsid w:val="009051D3"/>
    <w:rsid w:val="009454D1"/>
    <w:rsid w:val="009E7573"/>
    <w:rsid w:val="00A16D78"/>
    <w:rsid w:val="00A40B04"/>
    <w:rsid w:val="00A5032C"/>
    <w:rsid w:val="00AA0E25"/>
    <w:rsid w:val="00B1320D"/>
    <w:rsid w:val="00B34B32"/>
    <w:rsid w:val="00B46F64"/>
    <w:rsid w:val="00B823A1"/>
    <w:rsid w:val="00B835B2"/>
    <w:rsid w:val="00B93712"/>
    <w:rsid w:val="00CB421E"/>
    <w:rsid w:val="00D154FB"/>
    <w:rsid w:val="00D17E72"/>
    <w:rsid w:val="00D512CA"/>
    <w:rsid w:val="00D52EB4"/>
    <w:rsid w:val="00D617EA"/>
    <w:rsid w:val="00D71D71"/>
    <w:rsid w:val="00DC5460"/>
    <w:rsid w:val="00E317ED"/>
    <w:rsid w:val="00E37047"/>
    <w:rsid w:val="00E41890"/>
    <w:rsid w:val="00E54782"/>
    <w:rsid w:val="00E62D5A"/>
    <w:rsid w:val="00EA10AF"/>
    <w:rsid w:val="00EA5230"/>
    <w:rsid w:val="00EC5ED4"/>
    <w:rsid w:val="00F106E2"/>
    <w:rsid w:val="00F66918"/>
    <w:rsid w:val="00FB3969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429110-8F6E-4CCB-ABA4-731D445B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7ED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E317ED"/>
  </w:style>
  <w:style w:type="paragraph" w:styleId="Footer">
    <w:name w:val="footer"/>
    <w:basedOn w:val="Normal"/>
    <w:link w:val="FooterChar"/>
    <w:uiPriority w:val="99"/>
    <w:unhideWhenUsed/>
    <w:rsid w:val="00E317ED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E317ED"/>
  </w:style>
  <w:style w:type="paragraph" w:styleId="NoSpacing">
    <w:name w:val="No Spacing"/>
    <w:uiPriority w:val="1"/>
    <w:qFormat/>
    <w:rsid w:val="002F12B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D5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D5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David Freeburn</cp:lastModifiedBy>
  <cp:revision>33</cp:revision>
  <cp:lastPrinted>2019-04-02T14:17:00Z</cp:lastPrinted>
  <dcterms:created xsi:type="dcterms:W3CDTF">2017-12-02T06:47:00Z</dcterms:created>
  <dcterms:modified xsi:type="dcterms:W3CDTF">2020-01-04T15:49:00Z</dcterms:modified>
</cp:coreProperties>
</file>